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705CBC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  <w:bookmarkStart w:id="0" w:name="_GoBack"/>
      <w:bookmarkEnd w:id="0"/>
    </w:p>
    <w:tbl>
      <w:tblPr>
        <w:tblpPr w:leftFromText="181" w:rightFromText="181" w:vertAnchor="text" w:tblpX="2" w:tblpY="2"/>
        <w:tblW w:w="5405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8"/>
        <w:gridCol w:w="874"/>
        <w:gridCol w:w="3986"/>
        <w:gridCol w:w="990"/>
        <w:gridCol w:w="2959"/>
      </w:tblGrid>
      <w:tr w:rsidR="00000000">
        <w:trPr>
          <w:trHeight w:val="390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705CBC">
            <w:pPr>
              <w:rPr>
                <w:rFonts w:eastAsia="Times New Roman"/>
                <w:sz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705CBC">
            <w:pPr>
              <w:rPr>
                <w:rFonts w:eastAsia="Times New Roman" w:cs="Calibri"/>
                <w:sz w:val="20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color w:val="000000"/>
                <w:sz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</w:rPr>
              <w:t>ПОЯСНИТЕЛЬНАЯ</w:t>
            </w:r>
            <w:r>
              <w:rPr>
                <w:rFonts w:ascii="Times New Roman" w:eastAsia="Times New Roman" w:hAnsi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</w:rPr>
              <w:t>ЗАПИСКА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705CBC">
            <w:pPr>
              <w:rPr>
                <w:rFonts w:eastAsia="Times New Roman"/>
                <w:sz w:val="20"/>
              </w:rPr>
            </w:pPr>
          </w:p>
        </w:tc>
        <w:tc>
          <w:tcPr>
            <w:tcW w:w="140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705CBC">
            <w:pPr>
              <w:rPr>
                <w:rFonts w:eastAsia="Times New Roman" w:cs="Calibri"/>
                <w:sz w:val="20"/>
              </w:rPr>
            </w:pPr>
          </w:p>
        </w:tc>
      </w:tr>
      <w:tr w:rsidR="00000000">
        <w:trPr>
          <w:trHeight w:val="390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705CBC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 w:cs="Calibri"/>
                <w:sz w:val="20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/>
                <w:sz w:val="28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Calibri"/>
                <w:color w:val="000000"/>
                <w:sz w:val="28"/>
              </w:rPr>
              <w:t> 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 w:cs="Calibri"/>
                <w:color w:val="000000"/>
              </w:rPr>
              <w:t>КОДЫ</w:t>
            </w:r>
          </w:p>
        </w:tc>
      </w:tr>
      <w:tr w:rsidR="00000000">
        <w:trPr>
          <w:trHeight w:val="300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705CBC">
            <w:pPr>
              <w:rPr>
                <w:rFonts w:ascii="Times New Roman" w:eastAsia="Times New Roman" w:hAnsi="Times New Roman" w:cs="Calibri"/>
                <w:sz w:val="20"/>
              </w:rPr>
            </w:pPr>
          </w:p>
        </w:tc>
        <w:tc>
          <w:tcPr>
            <w:tcW w:w="416" w:type="pct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1897" w:type="pct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color w:val="000000"/>
                <w:sz w:val="28"/>
                <w:u w:val="single"/>
              </w:rPr>
            </w:pPr>
            <w:r>
              <w:rPr>
                <w:rFonts w:ascii="Times New Roman" w:eastAsia="Times New Roman" w:hAnsi="Times New Roman" w:cs="Calibri"/>
                <w:sz w:val="18"/>
              </w:rPr>
              <w:t>на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 w:cs="Calibri"/>
                <w:sz w:val="18"/>
              </w:rPr>
              <w:t xml:space="preserve">  </w:t>
            </w:r>
            <w:r>
              <w:rPr>
                <w:rFonts w:ascii="Times New Roman" w:eastAsia="Times New Roman" w:hAnsi="Times New Roman"/>
                <w:sz w:val="18"/>
                <w:lang w:val="en-US" w:eastAsia="en-US"/>
              </w:rPr>
              <w:t xml:space="preserve"> 1 августа 2026</w:t>
            </w:r>
            <w:r>
              <w:rPr>
                <w:rFonts w:ascii="Times New Roman" w:eastAsia="Times New Roman" w:hAnsi="Times New Roman" w:cs="Calibri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/>
                <w:sz w:val="18"/>
              </w:rPr>
              <w:t>года</w:t>
            </w:r>
          </w:p>
        </w:tc>
        <w:tc>
          <w:tcPr>
            <w:tcW w:w="471" w:type="pct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jc w:val="right"/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Форма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по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ОКУД</w:t>
            </w:r>
          </w:p>
        </w:tc>
        <w:tc>
          <w:tcPr>
            <w:tcW w:w="1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0503160</w:t>
            </w:r>
          </w:p>
        </w:tc>
      </w:tr>
      <w:tr w:rsidR="00000000">
        <w:trPr>
          <w:trHeight w:val="315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705CBC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416" w:type="pct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 w:cs="Calibri"/>
                <w:sz w:val="20"/>
              </w:rPr>
            </w:pPr>
          </w:p>
        </w:tc>
        <w:tc>
          <w:tcPr>
            <w:tcW w:w="1897" w:type="pct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/>
                <w:color w:val="000000"/>
                <w:sz w:val="28"/>
                <w:u w:val="single"/>
              </w:rPr>
            </w:pPr>
          </w:p>
        </w:tc>
        <w:tc>
          <w:tcPr>
            <w:tcW w:w="471" w:type="pct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 w:cs="Calibri"/>
                <w:color w:val="000000"/>
              </w:rPr>
            </w:pPr>
          </w:p>
        </w:tc>
        <w:tc>
          <w:tcPr>
            <w:tcW w:w="1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000000">
        <w:trPr>
          <w:trHeight w:val="390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705CBC">
            <w:pPr>
              <w:rPr>
                <w:rFonts w:ascii="Times New Roman" w:eastAsia="Times New Roman" w:hAnsi="Times New Roman" w:cs="Calibri"/>
                <w:sz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 w:cs="Calibri"/>
                <w:sz w:val="20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jc w:val="right"/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Дата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sz w:val="20"/>
              </w:rPr>
              <w:t>01.08.2026</w:t>
            </w:r>
          </w:p>
        </w:tc>
      </w:tr>
      <w:tr w:rsidR="00000000">
        <w:trPr>
          <w:trHeight w:val="360"/>
        </w:trPr>
        <w:tc>
          <w:tcPr>
            <w:tcW w:w="1223" w:type="pct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Главный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распорядитель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</w:rPr>
              <w:t>распорядитель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</w:rPr>
              <w:t>получатель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бюджетных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средств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</w:rPr>
              <w:t>главный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ад</w:t>
            </w:r>
            <w:r>
              <w:rPr>
                <w:rFonts w:ascii="Times New Roman" w:eastAsia="Times New Roman" w:hAnsi="Times New Roman"/>
                <w:color w:val="000000"/>
              </w:rPr>
              <w:t>министратор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</w:rPr>
              <w:t>администратор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доходов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бюджета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</w:rPr>
              <w:t>главный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администратор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</w:rPr>
              <w:t>администратор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источников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финансирования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дефицита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бюджета</w:t>
            </w: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471" w:type="pct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 w:cs="Calibri"/>
                <w:color w:val="000000"/>
              </w:rPr>
              <w:t>по</w:t>
            </w:r>
            <w:r>
              <w:rPr>
                <w:rFonts w:ascii="Times New Roman" w:eastAsia="Times New Roman" w:hAnsi="Times New Roman" w:cs="Calibr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Calibri"/>
                <w:color w:val="000000"/>
              </w:rPr>
              <w:t>ОКПО</w:t>
            </w:r>
          </w:p>
        </w:tc>
        <w:tc>
          <w:tcPr>
            <w:tcW w:w="1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 w:cs="Calibri"/>
              </w:rPr>
              <w:br/>
            </w:r>
            <w:r>
              <w:rPr>
                <w:rFonts w:ascii="Times New Roman" w:eastAsia="Times New Roman" w:hAnsi="Times New Roman"/>
                <w:sz w:val="20"/>
              </w:rPr>
              <w:t>13539775</w:t>
            </w:r>
          </w:p>
        </w:tc>
      </w:tr>
      <w:tr w:rsidR="00000000">
        <w:trPr>
          <w:trHeight w:val="375"/>
        </w:trPr>
        <w:tc>
          <w:tcPr>
            <w:tcW w:w="1223" w:type="pct"/>
            <w:gridSpan w:val="2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 w:cs="Calibri"/>
                <w:sz w:val="20"/>
              </w:rPr>
            </w:pPr>
          </w:p>
        </w:tc>
        <w:tc>
          <w:tcPr>
            <w:tcW w:w="471" w:type="pct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 w:cs="Calibri"/>
                <w:color w:val="000000"/>
              </w:rPr>
            </w:pPr>
          </w:p>
        </w:tc>
      </w:tr>
      <w:tr w:rsidR="00000000">
        <w:trPr>
          <w:trHeight w:val="375"/>
        </w:trPr>
        <w:tc>
          <w:tcPr>
            <w:tcW w:w="1223" w:type="pct"/>
            <w:gridSpan w:val="2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 w:cs="Calibri"/>
                <w:sz w:val="20"/>
              </w:rPr>
            </w:pPr>
          </w:p>
        </w:tc>
        <w:tc>
          <w:tcPr>
            <w:tcW w:w="471" w:type="pct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 w:cs="Calibri"/>
                <w:color w:val="000000"/>
              </w:rPr>
            </w:pPr>
          </w:p>
        </w:tc>
      </w:tr>
      <w:tr w:rsidR="00000000">
        <w:trPr>
          <w:trHeight w:val="390"/>
        </w:trPr>
        <w:tc>
          <w:tcPr>
            <w:tcW w:w="1223" w:type="pct"/>
            <w:gridSpan w:val="2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 w:cs="Calibri"/>
                <w:sz w:val="20"/>
              </w:rPr>
            </w:pPr>
          </w:p>
        </w:tc>
        <w:tc>
          <w:tcPr>
            <w:tcW w:w="471" w:type="pct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 w:cs="Calibri"/>
                <w:color w:val="000000"/>
              </w:rPr>
            </w:pPr>
          </w:p>
        </w:tc>
      </w:tr>
      <w:tr w:rsidR="00000000">
        <w:trPr>
          <w:trHeight w:val="1785"/>
        </w:trPr>
        <w:tc>
          <w:tcPr>
            <w:tcW w:w="1223" w:type="pct"/>
            <w:gridSpan w:val="2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 w:cs="Calibri"/>
                <w:b/>
                <w:color w:val="000000"/>
                <w:sz w:val="28"/>
              </w:rPr>
            </w:pPr>
            <w:r>
              <w:rPr>
                <w:rFonts w:ascii="Times New Roman" w:eastAsia="Times New Roman" w:hAnsi="Times New Roman" w:cs="Calibri"/>
                <w:color w:val="000000"/>
                <w:lang w:val="en-US" w:eastAsia="en-US"/>
              </w:rPr>
              <w:t>УПРАВА РАЙОНА БИБИРЕВО ГОРОДА МОСКВЫ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jc w:val="right"/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Глава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по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БК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lang w:val="en-US" w:eastAsia="en-US"/>
              </w:rPr>
              <w:t xml:space="preserve">941 </w:t>
            </w:r>
          </w:p>
        </w:tc>
      </w:tr>
      <w:tr w:rsidR="00000000">
        <w:trPr>
          <w:trHeight w:val="983"/>
        </w:trPr>
        <w:tc>
          <w:tcPr>
            <w:tcW w:w="1223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Наименование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бюджета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(</w:t>
            </w:r>
            <w:r>
              <w:rPr>
                <w:rFonts w:ascii="Times New Roman" w:eastAsia="Times New Roman" w:hAnsi="Times New Roman"/>
                <w:color w:val="000000"/>
              </w:rPr>
              <w:t>публично</w:t>
            </w:r>
            <w:r>
              <w:rPr>
                <w:rFonts w:ascii="Times New Roman" w:eastAsia="Times New Roman" w:hAnsi="Times New Roman"/>
                <w:color w:val="000000"/>
              </w:rPr>
              <w:t>-</w:t>
            </w:r>
            <w:r>
              <w:rPr>
                <w:rFonts w:ascii="Times New Roman" w:eastAsia="Times New Roman" w:hAnsi="Times New Roman"/>
                <w:color w:val="000000"/>
              </w:rPr>
              <w:t>правового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образования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) </w:t>
            </w: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</w:rPr>
              <w:t>Бюджет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</w:rPr>
              <w:t>города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</w:rPr>
              <w:t>Москвы</w:t>
            </w:r>
          </w:p>
        </w:tc>
        <w:tc>
          <w:tcPr>
            <w:tcW w:w="471" w:type="pct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jc w:val="right"/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по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ОКТМО</w:t>
            </w:r>
          </w:p>
        </w:tc>
        <w:tc>
          <w:tcPr>
            <w:tcW w:w="1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Style w:val="style461"/>
                <w:rFonts w:eastAsia="Times New Roman"/>
                <w:sz w:val="22"/>
                <w:lang w:val="en-US" w:eastAsia="en-US"/>
              </w:rPr>
              <w:t>45000000</w:t>
            </w:r>
            <w:r>
              <w:rPr>
                <w:rFonts w:ascii="Times New Roman" w:eastAsia="Times New Roman" w:hAnsi="Times New Roman" w:cs="Calibri"/>
                <w:lang w:val="en-US" w:eastAsia="en-US"/>
              </w:rPr>
              <w:t xml:space="preserve"> </w:t>
            </w:r>
          </w:p>
        </w:tc>
      </w:tr>
      <w:tr w:rsidR="00000000">
        <w:trPr>
          <w:trHeight w:val="240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705CBC">
            <w:pPr>
              <w:rPr>
                <w:rFonts w:ascii="Times New Roman" w:eastAsia="Times New Roman" w:hAnsi="Times New Roman" w:cs="Calibri"/>
                <w:sz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 w:cs="Calibri"/>
                <w:sz w:val="20"/>
              </w:rPr>
            </w:pPr>
          </w:p>
        </w:tc>
        <w:tc>
          <w:tcPr>
            <w:tcW w:w="471" w:type="pct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 w:cs="Calibri"/>
                <w:color w:val="000000"/>
              </w:rPr>
            </w:pPr>
          </w:p>
        </w:tc>
      </w:tr>
      <w:tr w:rsidR="00000000">
        <w:trPr>
          <w:trHeight w:val="330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Периодичность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: </w:t>
            </w:r>
          </w:p>
        </w:tc>
        <w:tc>
          <w:tcPr>
            <w:tcW w:w="2312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en-US"/>
              </w:rPr>
              <w:t>месячная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jc w:val="right"/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</w:tr>
      <w:tr w:rsidR="00000000">
        <w:trPr>
          <w:trHeight w:val="450"/>
        </w:trPr>
        <w:tc>
          <w:tcPr>
            <w:tcW w:w="312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Единица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измерения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: </w:t>
            </w:r>
            <w:r>
              <w:rPr>
                <w:rFonts w:ascii="Times New Roman" w:eastAsia="Times New Roman" w:hAnsi="Times New Roman"/>
                <w:color w:val="000000"/>
              </w:rPr>
              <w:t>руб</w:t>
            </w:r>
            <w:r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jc w:val="right"/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по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ОКЕИ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383</w:t>
            </w:r>
          </w:p>
        </w:tc>
      </w:tr>
      <w:tr w:rsidR="00000000">
        <w:trPr>
          <w:trHeight w:val="315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705CBC">
            <w:pPr>
              <w:rPr>
                <w:rFonts w:ascii="Times New Roman" w:eastAsia="Times New Roman" w:hAnsi="Times New Roman" w:cs="Calibri"/>
                <w:sz w:val="20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705CBC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 w:cs="Calibri"/>
                <w:sz w:val="20"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705CBC">
            <w:pPr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000000">
        <w:trPr>
          <w:trHeight w:val="315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705CBC">
            <w:pPr>
              <w:rPr>
                <w:rFonts w:eastAsia="Times New Roman" w:cs="Calibri"/>
                <w:sz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705CBC">
            <w:pPr>
              <w:rPr>
                <w:rFonts w:eastAsia="Times New Roman"/>
                <w:sz w:val="20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705CBC">
            <w:pPr>
              <w:rPr>
                <w:rFonts w:eastAsia="Times New Roman" w:cs="Calibri"/>
                <w:sz w:val="20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705CBC">
            <w:pPr>
              <w:rPr>
                <w:rFonts w:eastAsia="Times New Roman"/>
                <w:sz w:val="20"/>
              </w:rPr>
            </w:pPr>
          </w:p>
        </w:tc>
        <w:tc>
          <w:tcPr>
            <w:tcW w:w="1409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705CBC">
            <w:pPr>
              <w:rPr>
                <w:rFonts w:eastAsia="Times New Roman" w:cs="Calibri"/>
                <w:sz w:val="20"/>
              </w:rPr>
            </w:pPr>
          </w:p>
        </w:tc>
      </w:tr>
      <w:tr w:rsidR="00000000">
        <w:trPr>
          <w:gridAfter w:val="3"/>
          <w:wAfter w:w="3777" w:type="pct"/>
          <w:trHeight w:val="315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705CBC">
            <w:pPr>
              <w:rPr>
                <w:rFonts w:eastAsia="Times New Roman"/>
                <w:sz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705CBC">
            <w:pPr>
              <w:rPr>
                <w:rFonts w:eastAsia="Times New Roman" w:cs="Calibri"/>
                <w:sz w:val="20"/>
              </w:rPr>
            </w:pPr>
          </w:p>
        </w:tc>
      </w:tr>
      <w:tr w:rsidR="00000000">
        <w:trPr>
          <w:trHeight w:val="315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705CBC">
            <w:pPr>
              <w:rPr>
                <w:rFonts w:eastAsia="Times New Roman"/>
                <w:sz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705CBC">
            <w:pPr>
              <w:rPr>
                <w:rFonts w:eastAsia="Times New Roman" w:cs="Calibri"/>
                <w:sz w:val="20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705CBC">
            <w:pPr>
              <w:rPr>
                <w:rFonts w:eastAsia="Times New Roman"/>
                <w:sz w:val="20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705CBC">
            <w:pPr>
              <w:rPr>
                <w:rFonts w:eastAsia="Times New Roman" w:cs="Calibri"/>
                <w:sz w:val="20"/>
              </w:rPr>
            </w:pPr>
          </w:p>
        </w:tc>
        <w:tc>
          <w:tcPr>
            <w:tcW w:w="1409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705CBC">
            <w:pPr>
              <w:rPr>
                <w:rFonts w:eastAsia="Times New Roman"/>
                <w:sz w:val="20"/>
              </w:rPr>
            </w:pPr>
          </w:p>
        </w:tc>
      </w:tr>
      <w:tr w:rsidR="00000000">
        <w:trPr>
          <w:gridAfter w:val="3"/>
          <w:wAfter w:w="3777" w:type="pct"/>
          <w:trHeight w:val="315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705CBC">
            <w:pPr>
              <w:rPr>
                <w:rFonts w:eastAsia="Times New Roman" w:cs="Calibri"/>
                <w:sz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705CBC">
            <w:pPr>
              <w:rPr>
                <w:rFonts w:eastAsia="Times New Roman"/>
                <w:sz w:val="20"/>
              </w:rPr>
            </w:pPr>
          </w:p>
        </w:tc>
      </w:tr>
    </w:tbl>
    <w:p w:rsidR="00000000" w:rsidRDefault="00705CBC">
      <w:pPr>
        <w:jc w:val="both"/>
        <w:rPr>
          <w:rFonts w:ascii="Times New Roman CYR" w:eastAsia="Times New Roman" w:hAnsi="Times New Roman CYR" w:cs="Times New Roman CYR"/>
          <w:color w:val="004DBB"/>
          <w:lang w:val="en-US" w:eastAsia="en-US"/>
        </w:rPr>
      </w:pPr>
    </w:p>
    <w:p w:rsidR="00000000" w:rsidRDefault="00705CBC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</w:p>
    <w:p w:rsidR="00000000" w:rsidRDefault="00705CBC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</w:p>
    <w:p w:rsidR="00000000" w:rsidRDefault="00705CBC">
      <w:pPr>
        <w:jc w:val="center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b/>
          <w:color w:val="000000"/>
          <w:sz w:val="28"/>
        </w:rPr>
        <w:t>Раздел</w:t>
      </w:r>
      <w:r>
        <w:rPr>
          <w:rFonts w:ascii="Times New Roman" w:eastAsia="Times New Roman" w:hAnsi="Times New Roman"/>
          <w:b/>
          <w:color w:val="000000"/>
          <w:sz w:val="28"/>
        </w:rPr>
        <w:t xml:space="preserve"> 1 </w:t>
      </w:r>
      <w:r>
        <w:rPr>
          <w:rFonts w:ascii="Times New Roman" w:eastAsia="Times New Roman" w:hAnsi="Times New Roman"/>
          <w:b/>
          <w:color w:val="000000"/>
          <w:sz w:val="28"/>
        </w:rPr>
        <w:t>«</w:t>
      </w:r>
      <w:r>
        <w:rPr>
          <w:rFonts w:ascii="Times New Roman" w:eastAsia="Times New Roman" w:hAnsi="Times New Roman"/>
          <w:b/>
          <w:color w:val="000000"/>
          <w:sz w:val="28"/>
        </w:rPr>
        <w:t>Организационная структура субъекта бюджетной отчетности»</w:t>
      </w:r>
      <w:r>
        <w:rPr>
          <w:rFonts w:ascii="Times New Roman" w:eastAsia="Times New Roman" w:hAnsi="Times New Roman" w:cs="Calibri"/>
          <w:sz w:val="28"/>
        </w:rPr>
        <w:t xml:space="preserve"> </w:t>
      </w:r>
    </w:p>
    <w:tbl>
      <w:tblPr>
        <w:tblStyle w:val="1"/>
        <w:tblW w:w="1074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07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0000" w:rsidRDefault="00705CBC">
            <w:pPr>
              <w:ind w:right="34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Иная информация, оказавш</w:t>
            </w:r>
            <w:r>
              <w:rPr>
                <w:rFonts w:ascii="Times New Roman" w:eastAsia="Times New Roman" w:hAnsi="Times New Roman"/>
                <w:b/>
                <w:sz w:val="24"/>
              </w:rPr>
              <w:t>ая существенное влияние и характеризующая организационную структуру субъекта бюджетной отчетности за отчетный период, не нашедшая отражения в таблицах и приложениях, включаемых в раздел</w:t>
            </w:r>
          </w:p>
          <w:p w:rsidR="00000000" w:rsidRDefault="00705CBC">
            <w:pPr>
              <w:tabs>
                <w:tab w:val="left" w:pos="10348"/>
                <w:tab w:val="left" w:pos="10632"/>
              </w:tabs>
              <w:ind w:right="34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Иная информация, оказавшая существенное влияние и характеризующая ор</w:t>
            </w:r>
            <w:r>
              <w:rPr>
                <w:rFonts w:ascii="Times New Roman" w:eastAsia="Times New Roman" w:hAnsi="Times New Roman" w:cs="Times New Roman"/>
                <w:sz w:val="24"/>
              </w:rPr>
              <w:t>ганизационную структуру субъекта бюджетной отчетности за отчетный период, не нашедшая отражения в таблицах и приложениях, включаемых в раздел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</w:tbl>
    <w:p w:rsidR="00000000" w:rsidRDefault="00705CBC">
      <w:pPr>
        <w:jc w:val="both"/>
        <w:rPr>
          <w:rFonts w:ascii="Times New Roman CYR" w:eastAsia="Times New Roman" w:hAnsi="Times New Roman CYR" w:cs="Times New Roman CYR"/>
          <w:color w:val="004DBB"/>
          <w:lang w:val="en-US" w:eastAsia="en-US"/>
        </w:rPr>
      </w:pPr>
    </w:p>
    <w:p w:rsidR="00000000" w:rsidRDefault="00705CBC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</w:p>
    <w:p w:rsidR="00000000" w:rsidRDefault="00705CBC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</w:p>
    <w:p w:rsidR="00000000" w:rsidRDefault="00705CBC">
      <w:pPr>
        <w:jc w:val="center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b/>
          <w:color w:val="000000"/>
          <w:sz w:val="28"/>
        </w:rPr>
        <w:t>Раздел</w:t>
      </w:r>
      <w:r>
        <w:rPr>
          <w:rFonts w:ascii="Times New Roman" w:eastAsia="Times New Roman" w:hAnsi="Times New Roman"/>
          <w:b/>
          <w:color w:val="000000"/>
          <w:sz w:val="28"/>
        </w:rPr>
        <w:t xml:space="preserve"> 2 </w:t>
      </w:r>
      <w:r>
        <w:rPr>
          <w:rFonts w:ascii="Times New Roman" w:eastAsia="Times New Roman" w:hAnsi="Times New Roman"/>
          <w:b/>
          <w:color w:val="000000"/>
          <w:sz w:val="28"/>
        </w:rPr>
        <w:t>«</w:t>
      </w:r>
      <w:r>
        <w:rPr>
          <w:rFonts w:ascii="Times New Roman" w:eastAsia="Times New Roman" w:hAnsi="Times New Roman"/>
          <w:b/>
          <w:color w:val="000000"/>
          <w:sz w:val="28"/>
        </w:rPr>
        <w:t>Результаты деятельности субъекта бюджетной отчетности»</w:t>
      </w:r>
      <w:r>
        <w:rPr>
          <w:rFonts w:ascii="Times New Roman" w:eastAsia="Times New Roman" w:hAnsi="Times New Roman" w:cs="Calibri"/>
          <w:sz w:val="28"/>
        </w:rPr>
        <w:t xml:space="preserve"> </w:t>
      </w:r>
    </w:p>
    <w:tbl>
      <w:tblPr>
        <w:tblStyle w:val="1"/>
        <w:tblW w:w="5405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050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 w:eastAsia="en-US"/>
              </w:rPr>
            </w:pPr>
          </w:p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</w:pPr>
          </w:p>
          <w:p w:rsidR="00000000" w:rsidRDefault="00705CBC">
            <w:pPr>
              <w:ind w:right="35"/>
              <w:rPr>
                <w:rFonts w:ascii="Times New Roman" w:eastAsia="Times New Roman" w:hAnsi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</w:tbl>
    <w:p w:rsidR="00000000" w:rsidRDefault="00705CBC">
      <w:pPr>
        <w:jc w:val="both"/>
        <w:rPr>
          <w:rFonts w:ascii="Times New Roman CYR" w:eastAsia="Times New Roman" w:hAnsi="Times New Roman CYR" w:cs="Times New Roman CYR"/>
          <w:color w:val="004DBB"/>
          <w:lang w:val="en-US" w:eastAsia="en-US"/>
        </w:rPr>
      </w:pPr>
    </w:p>
    <w:p w:rsidR="00000000" w:rsidRDefault="00705CBC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</w:p>
    <w:p w:rsidR="00000000" w:rsidRDefault="00705CBC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</w:p>
    <w:p w:rsidR="00000000" w:rsidRDefault="00705CBC">
      <w:pPr>
        <w:jc w:val="center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b/>
          <w:color w:val="000000"/>
          <w:sz w:val="28"/>
        </w:rPr>
        <w:t>Раздел</w:t>
      </w:r>
      <w:r>
        <w:rPr>
          <w:rFonts w:ascii="Times New Roman" w:eastAsia="Times New Roman" w:hAnsi="Times New Roman"/>
          <w:b/>
          <w:color w:val="000000"/>
          <w:sz w:val="28"/>
        </w:rPr>
        <w:t xml:space="preserve"> 3 </w:t>
      </w:r>
      <w:r>
        <w:rPr>
          <w:rFonts w:ascii="Times New Roman" w:eastAsia="Times New Roman" w:hAnsi="Times New Roman"/>
          <w:b/>
          <w:color w:val="000000"/>
          <w:sz w:val="28"/>
        </w:rPr>
        <w:t>«</w:t>
      </w:r>
      <w:r>
        <w:rPr>
          <w:rFonts w:ascii="Times New Roman" w:eastAsia="Times New Roman" w:hAnsi="Times New Roman"/>
          <w:b/>
          <w:color w:val="000000"/>
          <w:sz w:val="28"/>
        </w:rPr>
        <w:t>Анализ отчета об исполнении бюджета субъектом бюджетной отчетности»</w:t>
      </w:r>
      <w:r>
        <w:rPr>
          <w:rFonts w:ascii="Times New Roman" w:eastAsia="Times New Roman" w:hAnsi="Times New Roman" w:cs="Calibri"/>
          <w:sz w:val="28"/>
        </w:rPr>
        <w:t xml:space="preserve"> </w:t>
      </w:r>
    </w:p>
    <w:tbl>
      <w:tblPr>
        <w:tblStyle w:val="1"/>
        <w:tblW w:w="5405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050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 w:eastAsia="en-US"/>
              </w:rPr>
            </w:pPr>
          </w:p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t>Сведения, раскрывающие информацию о ходе реализации государственными (муниципальными) бюджетными и автономными учреждениями национальных проектов (региональных проектов, обеспечивающих д</w:t>
            </w: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t>остижение показателей и реализацию мероприятий (результатов) федеральных проектов, входящих в состав национальных проектов) за счет средств субсидии на иные цели и субсидии на цели осуществления капитальных вложений, с указанием причин образования остатков</w:t>
            </w: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t xml:space="preserve"> средств целевых субсидий</w:t>
            </w:r>
          </w:p>
          <w:p w:rsidR="00000000" w:rsidRDefault="00705CBC">
            <w:pPr>
              <w:ind w:right="35"/>
              <w:rPr>
                <w:rFonts w:ascii="Times New Roman" w:eastAsia="Times New Roman" w:hAnsi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21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Сведения, раскрывающие информацию о ходе реализации государственными (муниципальными) бюджетными и автономными учреждениями национальных проектов (региональных проектов, обеспечивающих достижение показателей и реализацию меропри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ятий (результатов) федеральных проектов, входящих в состав национальных проектов) за счет средств субсидии на иные цели и субсидии на цели осуществления капитальных вложений, с указанием причин образования остатков средств целевых субсидий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 w:cs="Times New Roman"/>
                <w:sz w:val="24"/>
                <w:lang w:val="en-US" w:eastAsia="en-US"/>
              </w:rPr>
            </w:pPr>
          </w:p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t>Информация, раскрывающая данные о неисполненных принятых бюджетных обязательствах и денежных обязательствах в ходе реализации национальных проектов (региональных проектов, обеспечивающих достижение показателей и реализацию мероприятий (результатов) федерал</w:t>
            </w: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t>ьных проектов, входящих в состав национальных проектов) (на основании ф. 0503128-НП)</w:t>
            </w:r>
          </w:p>
          <w:p w:rsidR="00000000" w:rsidRDefault="00705CBC">
            <w:pPr>
              <w:ind w:right="35"/>
              <w:rPr>
                <w:rFonts w:ascii="Times New Roman" w:eastAsia="Times New Roman" w:hAnsi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21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Информация, раскрыв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ающая данные о неисполненных принятых бюджетных обязательствах и денежных обязательствах в ходе реализации национальных проектов (региональных проектов, обеспечивающих достижение показателей и реализацию мероприятий (результатов) федеральных проектов, вход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ящих в состав национальных проектов) (на основании ф. 0503128-НП)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 w:cs="Times New Roman"/>
                <w:sz w:val="24"/>
                <w:lang w:val="en-US" w:eastAsia="en-US"/>
              </w:rPr>
            </w:pPr>
          </w:p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t>Информация о сумме курсовой разницы, отраженной в ф. 0503127 в разрезе следующих показателей</w:t>
            </w: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t xml:space="preserve">: положительная курсовая разница;  отрицательная курсовая разница; начисленная по доходам или расходам; наименование контрагентов и мероприятий, по </w:t>
            </w: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lastRenderedPageBreak/>
              <w:t>которым осуществляются расчеты в иностранной валюте</w:t>
            </w:r>
          </w:p>
          <w:p w:rsidR="00000000" w:rsidRDefault="00705CBC">
            <w:pPr>
              <w:ind w:right="35"/>
              <w:rPr>
                <w:rFonts w:ascii="Times New Roman" w:eastAsia="Times New Roman" w:hAnsi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21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lastRenderedPageBreak/>
              <w:t>Информация о сумме курсовой разницы, отраженной в ф. 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503127 в разрезе следующих показателей: положительная курсовая разница;  отрицательная курсовая разница; начисленная по доходам или расходам; наименование контрагентов и мероприятий, по которым осуществляются расчеты в иностранной валюте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 w:cs="Times New Roman"/>
                <w:sz w:val="24"/>
                <w:lang w:val="en-US" w:eastAsia="en-US"/>
              </w:rPr>
            </w:pPr>
          </w:p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t>Иная информация, оказавшая существенное влияние и характеризующая результаты исполнения  бюджета субъектом бюджетной отчетности, не отраженная в таблицах и приложениях</w:t>
            </w:r>
          </w:p>
          <w:p w:rsidR="00000000" w:rsidRDefault="00705CBC">
            <w:pPr>
              <w:ind w:right="35"/>
              <w:rPr>
                <w:rFonts w:ascii="Times New Roman" w:eastAsia="Times New Roman" w:hAnsi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21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Иная информация, оказавш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ая существенное влияние и характеризующая результаты исполнения  бюджета субъектом бюджетной отчетности, не отраженная в таблицах и приложениях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</w:tbl>
    <w:p w:rsidR="00000000" w:rsidRDefault="00705CBC">
      <w:pPr>
        <w:jc w:val="both"/>
        <w:rPr>
          <w:rFonts w:ascii="Times New Roman CYR" w:eastAsia="Times New Roman" w:hAnsi="Times New Roman CYR" w:cs="Times New Roman CYR"/>
          <w:color w:val="004DBB"/>
          <w:lang w:val="en-US" w:eastAsia="en-US"/>
        </w:rPr>
      </w:pPr>
    </w:p>
    <w:p w:rsidR="00000000" w:rsidRDefault="00705CBC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</w:p>
    <w:p w:rsidR="00000000" w:rsidRDefault="00705CBC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</w:p>
    <w:p w:rsidR="00000000" w:rsidRDefault="00705CBC">
      <w:pPr>
        <w:jc w:val="center"/>
        <w:rPr>
          <w:rFonts w:ascii="Times New Roman" w:eastAsia="Times New Roman" w:hAnsi="Times New Roman" w:cs="Calibri"/>
          <w:sz w:val="28"/>
        </w:rPr>
      </w:pPr>
      <w:r>
        <w:rPr>
          <w:rFonts w:ascii="Times New Roman" w:eastAsia="Times New Roman" w:hAnsi="Times New Roman"/>
          <w:b/>
          <w:color w:val="000000"/>
          <w:sz w:val="28"/>
        </w:rPr>
        <w:t>Раздел</w:t>
      </w:r>
      <w:r>
        <w:rPr>
          <w:rFonts w:ascii="Times New Roman" w:eastAsia="Times New Roman" w:hAnsi="Times New Roman"/>
          <w:b/>
          <w:color w:val="000000"/>
          <w:sz w:val="28"/>
        </w:rPr>
        <w:t xml:space="preserve"> 4 </w:t>
      </w:r>
      <w:r>
        <w:rPr>
          <w:rFonts w:ascii="Times New Roman" w:eastAsia="Times New Roman" w:hAnsi="Times New Roman"/>
          <w:b/>
          <w:color w:val="000000"/>
          <w:sz w:val="28"/>
        </w:rPr>
        <w:t>«</w:t>
      </w:r>
      <w:r>
        <w:rPr>
          <w:rFonts w:ascii="Times New Roman" w:eastAsia="Times New Roman" w:hAnsi="Times New Roman"/>
          <w:b/>
          <w:color w:val="000000"/>
          <w:sz w:val="28"/>
        </w:rPr>
        <w:t>Анализ показателей бухгалтерской отчетности субъекта бюджетной отчетности»</w:t>
      </w:r>
    </w:p>
    <w:tbl>
      <w:tblPr>
        <w:tblStyle w:val="1"/>
        <w:tblW w:w="5405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050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суммах изменений вступительного баланса (в том числе забалансовых счетов) в отчетном периоде в связи с внедрением федеральных стандартов бухгалтерского учета государственных финансов, отраженных  в ф. 0503173 по коду причины «02»</w:t>
            </w:r>
          </w:p>
          <w:p w:rsidR="00000000" w:rsidRDefault="00705CBC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Информация о суммах изменений вступительного баланса (в том числе забалансовых счетов) в отчетном периоде в связи с внедрением федеральных стандартов бухгалтерского учета государственных финансов, отраженных  в ф. 0503173 по коду причины «02»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об ошибках предшествующих годов, отраженных после утверждения бухгалтерской отчетности в ф. 0503173 по коду причины «03» (за исключением кода "03.5") и коду причины «07» по каждой статье бухгалтерской отчетности (в том числе забалансовых счетов)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 в структуре: - описание ошибки; - сумма корректировки по каждой статье бухгалтерской (финансовой) отчетности за каждый из предшествующих годов; - общая сумма корректировки на начало самого раннего из предшествующих годов, для которого в отчетности раскрыв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аются сравнительные показатели; - описание причин, по которым корректировка сравнительных показателей бухгалтерской (финансовой) отчетности за один или несколько предшествующих годов не представляется возможным; - описание способа отражения исправления оши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бки с указанием периода, в котором отражены исправления.</w:t>
            </w:r>
          </w:p>
          <w:p w:rsidR="00000000" w:rsidRDefault="00705CBC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Информация об ошибках предшествующих годов, отраженных после утверждения бухгалтерской отчетности в ф. 0503173 по коду причины «03» (за исключением кода "03.5") и коду причины «07» по каждой статье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 xml:space="preserve"> бухгалтерской отчетности (в том числе забалансовых счетов) в структуре: - описание ошибки; - сумма корректировки по каждой статье бухгалтерской (финансовой) отчетности за каждый из предшествующих годов; - общая сумма корректировки на начало самого раннего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 xml:space="preserve"> из предшествующих годов, для которого в отчетности раскрываются сравнительные показатели; - 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lastRenderedPageBreak/>
              <w:t>описание причин, по которым корректировка сравнительных показателей бухгалтерской (финансовой) отчетности за один или несколько предшествующих годов не представляе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тся возможным; - описание способа отражения исправления ошибки с указанием периода, в котором отражены исправления.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1. Информация о суммах корректировок (по балансовым и забалансовым счетам), связанных с ретроспективным применением измененной учетной политики, с указанием обоснования и содержания ее изменения, порядок отражения последствий изменений в отчетности, включа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я указание на обстоятельства, в связи с которыми применяется выбранный способ ведения бухгалтерского учета, и дату, с которой он применяется по показателям, отраженным по коду причины «04» в ф. 0503173; 2. Информация о суммах корректировок (по балансовым и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 забалансовым счетам) при ретроспективном применении измененной учетной политики, раскрывающая: - суммы корректировок по каждой статье бухгалтерской отчетности за каждый из предшествующих годов, для которых в бухгалтерской отчетности раскрываются сравнител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ьные показатели; - суммы корректировок, относящихся к годам, предшествующим тем, для которых в отчетности субъекта учета раскрываются сравнительные показатели</w:t>
            </w:r>
          </w:p>
          <w:p w:rsidR="00000000" w:rsidRDefault="00705CBC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1. Информация о суммах корректировок (по балансовым и забалансовым счетам), связанных с ретроспективным применением измененной учетной политики, с указанием обоснования и содержания ее изменения, порядок отражения последствий изменений в отчетности, включа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я указание на обстоятельства, в связи с которыми применяется выбранный способ ведения бухгалтерского учета, и дату, с которой он применяется по показателям, отраженным по коду причины «04» в ф. 0503173; 2. Информация о суммах корректировок (по балансовым и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 xml:space="preserve"> забалансовым счетам) при ретроспективном применении измененной учетной политики, раскрывающая: - суммы корректировок по каждой статье бухгалтерской отчетности за каждый из предшествующих годов, для которых в бухгалтерской отчетности раскрываются сравнител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ьные показатели; - суммы корректировок, относящихся к годам, предшествующим тем, для которых в отчетности субъекта учета раскрываются сравнительные показатели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показателям (по балансовым и забалансовым счетам), отраженным по коду причины  05 «Пересчеты показателей отчетности» в ф. 0503173</w:t>
            </w:r>
          </w:p>
          <w:p w:rsidR="00000000" w:rsidRDefault="00705CBC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Информация по показателям (по балансовым и забалансовым счетам), отраженным по коду причины  05 «Пересчеты пок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азателей отчетности» в ф. 0503173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причинах (целях) открытия счетов в кредитных организациях, о причинах образования остатка денежных средств на счетах, а также обоснование необходимости наличия банковских счетов в случае отсутствия по ним операций в течение 2-х и более лет (на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 основании ф. 0503178-бюджетная деятельность)</w:t>
            </w:r>
          </w:p>
          <w:p w:rsidR="00000000" w:rsidRDefault="00705CBC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Информация о причинах (целях) открытия счетов в кредитных организациях, о причинах образования остатка денежных средств на счетах, а также обоснование необходимости наличия банковских счетов в случае отсутствия по ним операций в течение 2-х и более лет (на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 xml:space="preserve"> основании ф. 0503178-бюджетная деятельность)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Иная информация, характеризующая показатели бухгалтерской отчетности субъекта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lastRenderedPageBreak/>
              <w:t>бюджетной отчетности, не нашедшая отражения в таблицах и приложениях</w:t>
            </w:r>
          </w:p>
          <w:p w:rsidR="00000000" w:rsidRDefault="00705CBC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lastRenderedPageBreak/>
              <w:t>Иная информация, характеризующая показатели бухгалтерской отчетности субъекта бюджетной отчетности, не нашедшая отражения в таблицах и приложенияхИнструкция № 191н4.999.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</w:tbl>
    <w:p w:rsidR="00000000" w:rsidRDefault="00705CBC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</w:p>
    <w:p w:rsidR="00000000" w:rsidRDefault="00705CBC">
      <w:pPr>
        <w:jc w:val="both"/>
        <w:rPr>
          <w:rFonts w:ascii="Times New Roman CYR" w:eastAsia="Times New Roman" w:hAnsi="Times New Roman CYR" w:cs="Times New Roman CYR"/>
          <w:color w:val="004DBB"/>
          <w:lang w:val="en-US" w:eastAsia="en-US"/>
        </w:rPr>
      </w:pPr>
    </w:p>
    <w:p w:rsidR="00000000" w:rsidRDefault="00705CBC">
      <w:pPr>
        <w:jc w:val="both"/>
        <w:rPr>
          <w:rFonts w:ascii="Times New Roman CYR" w:eastAsia="Times New Roman" w:hAnsi="Times New Roman CYR" w:cs="Times New Roman CYR"/>
          <w:color w:val="004DBB"/>
          <w:lang w:val="en-US" w:eastAsia="en-US"/>
        </w:rPr>
      </w:pPr>
    </w:p>
    <w:p w:rsidR="00000000" w:rsidRDefault="00705CBC">
      <w:pPr>
        <w:jc w:val="center"/>
        <w:rPr>
          <w:rFonts w:ascii="Times New Roman" w:eastAsia="Times New Roman" w:hAnsi="Times New Roman" w:cs="Calibri"/>
          <w:sz w:val="28"/>
        </w:rPr>
      </w:pPr>
      <w:r>
        <w:rPr>
          <w:rFonts w:ascii="Times New Roman" w:eastAsia="Times New Roman" w:hAnsi="Times New Roman" w:cs="Calibri"/>
          <w:b/>
          <w:color w:val="000000"/>
          <w:sz w:val="28"/>
        </w:rPr>
        <w:t>Раздел</w:t>
      </w:r>
      <w:r>
        <w:rPr>
          <w:rFonts w:ascii="Times New Roman" w:eastAsia="Times New Roman" w:hAnsi="Times New Roman" w:cs="Calibri"/>
          <w:b/>
          <w:color w:val="000000"/>
          <w:sz w:val="28"/>
        </w:rPr>
        <w:t xml:space="preserve"> 5 </w:t>
      </w:r>
      <w:r>
        <w:rPr>
          <w:rFonts w:ascii="Times New Roman" w:eastAsia="Times New Roman" w:hAnsi="Times New Roman" w:cs="Calibri"/>
          <w:b/>
          <w:color w:val="000000"/>
          <w:sz w:val="28"/>
        </w:rPr>
        <w:t>«</w:t>
      </w:r>
      <w:r>
        <w:rPr>
          <w:rFonts w:ascii="Times New Roman" w:eastAsia="Times New Roman" w:hAnsi="Times New Roman" w:cs="Calibri"/>
          <w:b/>
          <w:color w:val="000000"/>
          <w:sz w:val="28"/>
        </w:rPr>
        <w:t>Прочие вопросы деятельности субъекта бюджетной отчетности»</w:t>
      </w:r>
      <w:r>
        <w:rPr>
          <w:rFonts w:ascii="Times New Roman" w:eastAsia="Times New Roman" w:hAnsi="Times New Roman"/>
          <w:sz w:val="28"/>
        </w:rPr>
        <w:t xml:space="preserve"> </w:t>
      </w:r>
    </w:p>
    <w:tbl>
      <w:tblPr>
        <w:tblStyle w:val="1"/>
        <w:tblW w:w="5405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074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событиях, произошедших в период между отчетной датой и датой утверждения бухгалтерской отчетности по долговым обязательствам, классифицированным как краткосрочные: рефинансирование на долгосрочный период; устранение нарушения соглашения о долг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осрочном финансировании; получение от кредитора отсрочки исполнения обязательств на период, оканчивающийся не ранее чем через 12 месяцев после отчетной даты</w:t>
            </w:r>
          </w:p>
          <w:p w:rsidR="00000000" w:rsidRDefault="00705CBC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Информация о событиях, произошедших в период между отчетной датой и датой утверждения бухгалтерск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ой отчетности по долговым обязательствам, классифицированным как краткосрочные: рефинансирование на долгосрочный период; устранение нарушения соглашения о долгосрочном финансировании; получение от кредитора отсрочки исполнения обязательств на период, оканч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ивающийся не ранее чем через 12 месяцев после отчетной даты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просроченной кредиторской задолженности, отраженная в аналитической таблице к ф. 0503387 «Справочная таблица к отчету об исполнении консолидированного бюджета субъекта Российской Федерации»</w:t>
            </w:r>
          </w:p>
          <w:p w:rsidR="00000000" w:rsidRDefault="00705CBC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Информация о просроченной кредиторской задолженност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и, отраженная в аналитической таблице к ф. 0503387 «Справочная таблица к отчету об исполнении консолидированного бюджета субъекта Российской Федерации»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Иная информация, отраженная в ф. 0503387 «Справочная таблица к отчету об исполнении консолидированно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го бюджета субъекта Российской Федерации» и требующая пояснения</w:t>
            </w:r>
          </w:p>
          <w:p w:rsidR="00000000" w:rsidRDefault="00705CBC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Иная информация, отраженная в ф. 0503387 «Справочная таблица к отчету об исполнении консолидированного бюджета субъекта Российской Федерации» и требующая пояснения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полученных межбюджетных трансфертах находящихся на отчетную дату на счете Управления Федерального казначейства № 03100 «Средства поступлений, являющихся источниками формирования доходов бюджетов бюджетной системы Российской Федерации» (на осно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вании ф. 0503184)</w:t>
            </w:r>
          </w:p>
          <w:p w:rsidR="00000000" w:rsidRDefault="00705CBC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Информация о полученных межбюджетных трансфертах находящихся на отчетную дату на счете Управления Федерального казначейства № 03100 «Средства поступлений, являющихся источниками формирования доходов бюджетов бюджетной системы Российской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 xml:space="preserve"> Федерации» (на основании ф. 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lastRenderedPageBreak/>
              <w:t>0503184)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Иная информация  о  межбюджетных трансфертах за отчетный период, не нашедшая отражения в формах отчетов, таблицах и приложениях</w:t>
            </w:r>
          </w:p>
          <w:p w:rsidR="00000000" w:rsidRDefault="00705CBC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Иная информация  о  межбюджетных трансфертах за отчетный период, не нашедшая отражения в формах отчетов, таблицах и приложениях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об ошибке бухгалтерской отчетности, допущенной в текущем финансовом году (ошибка отчетного года) и выявленной пос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ле даты принятия (утверждения) квартальной бухгалтерской отчетности (информация о существенности ошибки, описание ошибки (содержания и суммы), а также суммовых значений выполненных корректировок бухгалтерской отчетности</w:t>
            </w:r>
          </w:p>
          <w:p w:rsidR="00000000" w:rsidRDefault="00705CBC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Информация об ошибке бухгалтерской отчетности, допущенной в текущем финансовом году (ошибка отчетного года) и выявленной после даты принятия (утверждения) квартальной бухгалтерской отчетности (информация о существенности ошибки, описание ошибки (содержания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 xml:space="preserve"> и суммы), а также суммовых значений выполненных корректировок бухгалтерской отчетности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Перечень форм отчетности, не включенных в состав бюджетной отчетности за отчетный период ввиду отсутствия числовых значений показателей</w:t>
            </w:r>
          </w:p>
          <w:p w:rsidR="00000000" w:rsidRDefault="00705CBC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 xml:space="preserve">Перечень форм отчетности, 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не включенных в состав бюджетной отчетности за отчетный период ввиду отсутствия числовых значений показателей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Иная финансовая и нефинансовая информация, оказавшая существенное влияние на результаты деятельности субъекта бюджетной отчетности и необходимая для понимания пользователями бухгалтерской отчетности финансового положения, финансовых результатов деятельност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 и движения денежных средств субъекта отчетности за отчетный период, а также иная информация, характеризующая показатели бухгалтерской отчетности, не нашедшая отражения в таблицах и приложениях, включаемых в раздел</w:t>
            </w:r>
          </w:p>
          <w:p w:rsidR="00000000" w:rsidRDefault="00705CBC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Иная финансовая и нефинансовая информа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ция, оказавшая существенное влияние на результаты деятельности субъекта бюджетной отчетности и необходимая для понимания пользователями бухгалтерской отчетности финансового положения, финансовых результатов деятельности и движения денежных средств субъекта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 xml:space="preserve"> отчетности за отчетный период, а также иная информация, характеризующая показатели бухгалтерской отчетности, не нашедшая отражения в таблицах и приложениях, включаемых в раздел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705CBC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</w:tbl>
    <w:p w:rsidR="00000000" w:rsidRDefault="00705CBC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</w:p>
    <w:p w:rsidR="00000000" w:rsidRDefault="00705CBC">
      <w:pPr>
        <w:jc w:val="both"/>
        <w:rPr>
          <w:rFonts w:ascii="Times New Roman CYR" w:eastAsia="Times New Roman" w:hAnsi="Times New Roman CYR" w:cs="Times New Roman CYR"/>
          <w:color w:val="004DBB"/>
          <w:lang w:val="en-US" w:eastAsia="en-US"/>
        </w:rPr>
        <w:sectPr w:rsidR="00000000">
          <w:pgSz w:w="12240" w:h="15840"/>
          <w:pgMar w:top="1134" w:right="1701" w:bottom="1134" w:left="819" w:header="720" w:footer="720" w:gutter="0"/>
          <w:cols w:space="720"/>
          <w:noEndnote/>
        </w:sectPr>
      </w:pPr>
    </w:p>
    <w:p w:rsidR="00000000" w:rsidRDefault="00705CBC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</w:p>
    <w:p w:rsidR="00000000" w:rsidRDefault="00705CBC">
      <w:pPr>
        <w:jc w:val="both"/>
        <w:rPr>
          <w:rFonts w:ascii="Times New Roman CYR" w:eastAsia="Times New Roman" w:hAnsi="Times New Roman CYR" w:cs="Times New Roman CYR"/>
          <w:color w:val="004DBB"/>
          <w:lang w:val="en-US" w:eastAsia="en-US"/>
        </w:rPr>
      </w:pPr>
    </w:p>
    <w:p w:rsidR="00000000" w:rsidRDefault="00705CBC">
      <w:pPr>
        <w:jc w:val="both"/>
        <w:rPr>
          <w:rFonts w:ascii="Times New Roman CYR" w:eastAsia="Times New Roman" w:hAnsi="Times New Roman CYR" w:cs="Times New Roman CYR"/>
          <w:color w:val="004DBB"/>
          <w:lang w:val="en-US" w:eastAsia="en-US"/>
        </w:rPr>
      </w:pPr>
    </w:p>
    <w:p w:rsidR="00000000" w:rsidRDefault="00705CBC">
      <w:pPr>
        <w:jc w:val="center"/>
        <w:rPr>
          <w:rFonts w:ascii="Times New Roman" w:eastAsia="Times New Roman" w:hAnsi="Times New Roman"/>
          <w:b/>
          <w:color w:val="000000"/>
          <w:sz w:val="24"/>
        </w:rPr>
      </w:pPr>
      <w:r>
        <w:rPr>
          <w:rFonts w:ascii="Times New Roman" w:eastAsia="Times New Roman" w:hAnsi="Times New Roman" w:cs="Calibri"/>
          <w:b/>
          <w:color w:val="000000"/>
          <w:sz w:val="24"/>
        </w:rPr>
        <w:t>Информация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о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причинах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отклонений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показателей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представлен</w:t>
      </w:r>
      <w:r>
        <w:rPr>
          <w:rFonts w:ascii="Times New Roman" w:eastAsia="Times New Roman" w:hAnsi="Times New Roman" w:cs="Calibri"/>
          <w:b/>
          <w:color w:val="000000"/>
          <w:sz w:val="24"/>
        </w:rPr>
        <w:t>ных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форм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отчетности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по</w:t>
      </w:r>
      <w:r>
        <w:rPr>
          <w:rFonts w:ascii="Times New Roman" w:eastAsia="Times New Roman" w:hAnsi="Times New Roman" w:cs="Calibri"/>
          <w:b/>
          <w:color w:val="000000"/>
          <w:sz w:val="24"/>
        </w:rPr>
        <w:t> </w:t>
      </w:r>
      <w:r>
        <w:rPr>
          <w:rFonts w:ascii="Times New Roman" w:eastAsia="Times New Roman" w:hAnsi="Times New Roman" w:cs="Calibri"/>
          <w:b/>
          <w:color w:val="000000"/>
          <w:sz w:val="24"/>
        </w:rPr>
        <w:t>внутридокументным</w:t>
      </w:r>
      <w:r>
        <w:rPr>
          <w:rFonts w:ascii="Times New Roman" w:eastAsia="Times New Roman" w:hAnsi="Times New Roman" w:cs="Calibri"/>
          <w:b/>
          <w:color w:val="000000"/>
          <w:sz w:val="24"/>
        </w:rPr>
        <w:t> </w:t>
      </w:r>
      <w:r>
        <w:rPr>
          <w:rFonts w:ascii="Times New Roman" w:eastAsia="Times New Roman" w:hAnsi="Times New Roman" w:cs="Calibri"/>
          <w:b/>
          <w:color w:val="000000"/>
          <w:sz w:val="24"/>
        </w:rPr>
        <w:t>контрольным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соотношениям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, </w:t>
      </w:r>
      <w:r>
        <w:rPr>
          <w:rFonts w:ascii="Times New Roman" w:eastAsia="Times New Roman" w:hAnsi="Times New Roman" w:cs="Calibri"/>
          <w:b/>
          <w:color w:val="000000"/>
          <w:sz w:val="24"/>
        </w:rPr>
        <w:t>установленным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в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автоматизированной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информационной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системе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Департамента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финансов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города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Москвы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(</w:t>
      </w:r>
      <w:r>
        <w:rPr>
          <w:rFonts w:ascii="Times New Roman" w:eastAsia="Times New Roman" w:hAnsi="Times New Roman" w:cs="Calibri"/>
          <w:b/>
          <w:color w:val="000000"/>
          <w:sz w:val="24"/>
        </w:rPr>
        <w:t>в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части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допустимых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отклонений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, </w:t>
      </w:r>
      <w:r>
        <w:rPr>
          <w:rFonts w:ascii="Times New Roman" w:eastAsia="Times New Roman" w:hAnsi="Times New Roman" w:cs="Calibri"/>
          <w:b/>
          <w:color w:val="000000"/>
          <w:sz w:val="24"/>
        </w:rPr>
        <w:t>требующих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пояснений</w:t>
      </w:r>
      <w:r>
        <w:rPr>
          <w:rFonts w:ascii="Times New Roman" w:eastAsia="Times New Roman" w:hAnsi="Times New Roman" w:cs="Calibri"/>
          <w:b/>
          <w:color w:val="000000"/>
          <w:sz w:val="24"/>
        </w:rPr>
        <w:t>)</w:t>
      </w:r>
    </w:p>
    <w:p w:rsidR="00000000" w:rsidRDefault="00705CBC">
      <w:pPr>
        <w:jc w:val="center"/>
        <w:rPr>
          <w:rFonts w:eastAsia="Times New Roman" w:cs="Calibri"/>
        </w:rPr>
      </w:pPr>
    </w:p>
    <w:tbl>
      <w:tblPr>
        <w:tblW w:w="15120" w:type="dxa"/>
        <w:tblInd w:w="-142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648"/>
        <w:gridCol w:w="776"/>
        <w:gridCol w:w="1031"/>
        <w:gridCol w:w="1414"/>
        <w:gridCol w:w="1414"/>
        <w:gridCol w:w="1670"/>
        <w:gridCol w:w="1542"/>
        <w:gridCol w:w="1542"/>
        <w:gridCol w:w="4288"/>
      </w:tblGrid>
      <w:tr w:rsidR="00000000">
        <w:trPr>
          <w:trHeight w:val="255"/>
        </w:trPr>
        <w:tc>
          <w:tcPr>
            <w:tcW w:w="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Номер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КС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Описание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КС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Комментарий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КС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Форма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Атрибут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Код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строки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(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операция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и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код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Значение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слева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Значение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справа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Отклонение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Пояснение</w:t>
            </w:r>
          </w:p>
        </w:tc>
      </w:tr>
      <w:tr w:rsidR="00000000">
        <w:trPr>
          <w:trHeight w:val="255"/>
        </w:trPr>
        <w:tc>
          <w:tcPr>
            <w:tcW w:w="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9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10</w:t>
            </w:r>
          </w:p>
        </w:tc>
      </w:tr>
      <w:tr w:rsidR="00000000">
        <w:trPr>
          <w:trHeight w:val="255"/>
        </w:trPr>
        <w:tc>
          <w:tcPr>
            <w:tcW w:w="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705CB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705CB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705CB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705CB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lang w:val="en-US" w:eastAsia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705CB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lang w:val="en-US" w:eastAsia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705CBC">
            <w:pPr>
              <w:jc w:val="center"/>
              <w:rPr>
                <w:rFonts w:ascii="Times New Roman" w:eastAsia="Times New Roman" w:hAnsi="Times New Roman"/>
                <w:sz w:val="16"/>
                <w:lang w:val="en-US" w:eastAsia="en-US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705CB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705CB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705CB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705CBC">
            <w:pPr>
              <w:jc w:val="both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 xml:space="preserve"> </w:t>
            </w:r>
          </w:p>
        </w:tc>
      </w:tr>
    </w:tbl>
    <w:p w:rsidR="00000000" w:rsidRDefault="00705CBC">
      <w:pPr>
        <w:jc w:val="center"/>
        <w:rPr>
          <w:rFonts w:ascii="Times New Roman CYR" w:eastAsia="Times New Roman" w:hAnsi="Times New Roman CYR" w:cs="Calibri"/>
          <w:lang w:val="en-US" w:eastAsia="en-US"/>
        </w:rPr>
      </w:pPr>
    </w:p>
    <w:p w:rsidR="00000000" w:rsidRDefault="00705CBC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</w:p>
    <w:p w:rsidR="00000000" w:rsidRDefault="00705CBC">
      <w:pPr>
        <w:jc w:val="both"/>
        <w:rPr>
          <w:rFonts w:ascii="Times New Roman" w:eastAsia="Times New Roman" w:hAnsi="Times New Roman"/>
          <w:sz w:val="28"/>
          <w:lang w:val="en-US" w:eastAsia="en-US"/>
        </w:rPr>
      </w:pPr>
    </w:p>
    <w:p w:rsidR="00000000" w:rsidRDefault="00705CBC">
      <w:pPr>
        <w:jc w:val="both"/>
        <w:rPr>
          <w:rFonts w:ascii="Times New Roman" w:eastAsia="Times New Roman" w:hAnsi="Times New Roman" w:cs="Calibri"/>
          <w:sz w:val="28"/>
          <w:lang w:val="en-US" w:eastAsia="en-US"/>
        </w:rPr>
      </w:pPr>
    </w:p>
    <w:p w:rsidR="00000000" w:rsidRDefault="00705CBC">
      <w:pPr>
        <w:jc w:val="both"/>
        <w:rPr>
          <w:rFonts w:ascii="Times New Roman" w:eastAsia="Times New Roman" w:hAnsi="Times New Roman"/>
          <w:sz w:val="28"/>
          <w:lang w:val="en-US" w:eastAsia="en-US"/>
        </w:rPr>
      </w:pPr>
    </w:p>
    <w:p w:rsidR="00000000" w:rsidRDefault="00705CBC">
      <w:pPr>
        <w:jc w:val="both"/>
        <w:rPr>
          <w:rFonts w:ascii="Times New Roman CYR" w:eastAsia="Times New Roman" w:hAnsi="Times New Roman CYR" w:cs="Times New Roman CYR"/>
          <w:color w:val="004DBB"/>
          <w:lang w:val="en-US" w:eastAsia="en-US"/>
        </w:rPr>
      </w:pPr>
    </w:p>
    <w:p w:rsidR="00000000" w:rsidRDefault="00705CBC">
      <w:pPr>
        <w:jc w:val="center"/>
        <w:rPr>
          <w:rFonts w:ascii="Times New Roman" w:eastAsia="Times New Roman" w:hAnsi="Times New Roman"/>
          <w:b/>
          <w:color w:val="000000"/>
          <w:sz w:val="24"/>
        </w:rPr>
      </w:pPr>
      <w:r>
        <w:rPr>
          <w:rFonts w:ascii="Times New Roman" w:eastAsia="Times New Roman" w:hAnsi="Times New Roman" w:cs="Calibri"/>
          <w:b/>
          <w:color w:val="000000"/>
          <w:sz w:val="24"/>
        </w:rPr>
        <w:t>Информация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о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причинах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отклонений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показателей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представленных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форм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отчетности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по</w:t>
      </w:r>
      <w:r>
        <w:rPr>
          <w:rFonts w:ascii="Times New Roman" w:eastAsia="Times New Roman" w:hAnsi="Times New Roman" w:cs="Calibri"/>
          <w:b/>
          <w:color w:val="000000"/>
          <w:sz w:val="24"/>
        </w:rPr>
        <w:t> </w:t>
      </w:r>
      <w:r>
        <w:rPr>
          <w:rFonts w:ascii="Times New Roman" w:eastAsia="Times New Roman" w:hAnsi="Times New Roman" w:cs="Calibri"/>
          <w:b/>
          <w:color w:val="000000"/>
          <w:sz w:val="24"/>
        </w:rPr>
        <w:t>междокументным</w:t>
      </w:r>
      <w:r>
        <w:rPr>
          <w:rFonts w:ascii="Times New Roman" w:eastAsia="Times New Roman" w:hAnsi="Times New Roman" w:cs="Calibri"/>
          <w:b/>
          <w:color w:val="000000"/>
          <w:sz w:val="24"/>
        </w:rPr>
        <w:t> </w:t>
      </w:r>
      <w:r>
        <w:rPr>
          <w:rFonts w:ascii="Times New Roman" w:eastAsia="Times New Roman" w:hAnsi="Times New Roman" w:cs="Calibri"/>
          <w:b/>
          <w:color w:val="000000"/>
          <w:sz w:val="24"/>
        </w:rPr>
        <w:t>контрольным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соотношениям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, </w:t>
      </w:r>
      <w:r>
        <w:rPr>
          <w:rFonts w:ascii="Times New Roman" w:eastAsia="Times New Roman" w:hAnsi="Times New Roman" w:cs="Calibri"/>
          <w:b/>
          <w:color w:val="000000"/>
          <w:sz w:val="24"/>
        </w:rPr>
        <w:t>устан</w:t>
      </w:r>
      <w:r>
        <w:rPr>
          <w:rFonts w:ascii="Times New Roman" w:eastAsia="Times New Roman" w:hAnsi="Times New Roman" w:cs="Calibri"/>
          <w:b/>
          <w:color w:val="000000"/>
          <w:sz w:val="24"/>
        </w:rPr>
        <w:t>овленным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в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автоматизированной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информационной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системе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Департамента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финансов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города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Москвы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(</w:t>
      </w:r>
      <w:r>
        <w:rPr>
          <w:rFonts w:ascii="Times New Roman" w:eastAsia="Times New Roman" w:hAnsi="Times New Roman" w:cs="Calibri"/>
          <w:b/>
          <w:color w:val="000000"/>
          <w:sz w:val="24"/>
        </w:rPr>
        <w:t>в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части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допустимых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отклонений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, </w:t>
      </w:r>
      <w:r>
        <w:rPr>
          <w:rFonts w:ascii="Times New Roman" w:eastAsia="Times New Roman" w:hAnsi="Times New Roman" w:cs="Calibri"/>
          <w:b/>
          <w:color w:val="000000"/>
          <w:sz w:val="24"/>
        </w:rPr>
        <w:t>требующих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пояснений</w:t>
      </w:r>
      <w:r>
        <w:rPr>
          <w:rFonts w:ascii="Times New Roman" w:eastAsia="Times New Roman" w:hAnsi="Times New Roman" w:cs="Calibri"/>
          <w:b/>
          <w:color w:val="000000"/>
          <w:sz w:val="24"/>
        </w:rPr>
        <w:t>)</w:t>
      </w:r>
    </w:p>
    <w:p w:rsidR="00000000" w:rsidRDefault="00705CBC">
      <w:pPr>
        <w:jc w:val="center"/>
        <w:rPr>
          <w:rFonts w:ascii="Times New Roman" w:eastAsia="Times New Roman" w:hAnsi="Times New Roman" w:cs="Calibri"/>
          <w:b/>
          <w:color w:val="000000"/>
          <w:sz w:val="24"/>
        </w:rPr>
      </w:pPr>
    </w:p>
    <w:tbl>
      <w:tblPr>
        <w:tblW w:w="15120" w:type="dxa"/>
        <w:tblInd w:w="-142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"/>
        <w:gridCol w:w="797"/>
        <w:gridCol w:w="915"/>
        <w:gridCol w:w="675"/>
        <w:gridCol w:w="690"/>
        <w:gridCol w:w="2385"/>
        <w:gridCol w:w="720"/>
        <w:gridCol w:w="630"/>
        <w:gridCol w:w="690"/>
        <w:gridCol w:w="2565"/>
        <w:gridCol w:w="780"/>
        <w:gridCol w:w="765"/>
        <w:gridCol w:w="2976"/>
      </w:tblGrid>
      <w:tr w:rsidR="00000000">
        <w:trPr>
          <w:trHeight w:val="552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Номер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КС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Описание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КС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Комментарий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КС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Форма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слева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Атрибут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Код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строки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(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операция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и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код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Значение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Форма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справа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Атрибу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т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Код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строки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(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операция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и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код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)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Значение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Отклонение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Пояснение</w:t>
            </w:r>
          </w:p>
        </w:tc>
      </w:tr>
      <w:tr w:rsidR="00000000">
        <w:trPr>
          <w:trHeight w:val="252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1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2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3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5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7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8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9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10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11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12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705CB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13</w:t>
            </w:r>
          </w:p>
        </w:tc>
      </w:tr>
      <w:tr w:rsidR="00000000">
        <w:trPr>
          <w:trHeight w:val="552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705CB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705CB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705CB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705CB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705CB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705CBC">
            <w:pPr>
              <w:jc w:val="center"/>
              <w:rPr>
                <w:rFonts w:ascii="Times New Roman" w:eastAsia="Times New Roman" w:hAnsi="Times New Roman"/>
                <w:sz w:val="10"/>
                <w:lang w:val="en-US" w:eastAsia="en-US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705CB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705CB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705CB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705CBC">
            <w:pPr>
              <w:jc w:val="center"/>
              <w:rPr>
                <w:rFonts w:ascii="Times New Roman" w:eastAsia="Times New Roman" w:hAnsi="Times New Roman"/>
                <w:sz w:val="10"/>
                <w:lang w:val="en-US" w:eastAsia="en-US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705CB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705CB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705CBC">
            <w:pPr>
              <w:jc w:val="both"/>
              <w:rPr>
                <w:rFonts w:ascii="Times New Roman" w:eastAsia="Times New Roman" w:hAnsi="Times New Roman"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 xml:space="preserve"> </w:t>
            </w:r>
          </w:p>
        </w:tc>
      </w:tr>
    </w:tbl>
    <w:p w:rsidR="00000000" w:rsidRDefault="00705CBC">
      <w:pPr>
        <w:jc w:val="center"/>
        <w:rPr>
          <w:rFonts w:eastAsia="Times New Roman" w:cs="Calibri"/>
          <w:lang w:val="en-US" w:eastAsia="en-US"/>
        </w:rPr>
      </w:pPr>
    </w:p>
    <w:p w:rsidR="00000000" w:rsidRDefault="00705CBC">
      <w:pPr>
        <w:jc w:val="both"/>
        <w:rPr>
          <w:rFonts w:ascii="Times New Roman" w:eastAsia="Times New Roman" w:hAnsi="Times New Roman"/>
          <w:sz w:val="28"/>
          <w:lang w:val="en-US" w:eastAsia="en-US"/>
        </w:rPr>
      </w:pPr>
    </w:p>
    <w:p w:rsidR="00000000" w:rsidRDefault="00705CBC">
      <w:pPr>
        <w:jc w:val="both"/>
        <w:rPr>
          <w:rFonts w:ascii="Times New Roman CYR" w:eastAsia="Times New Roman" w:hAnsi="Times New Roman CYR" w:cs="Calibri"/>
          <w:color w:val="004DBB"/>
        </w:rPr>
      </w:pPr>
    </w:p>
    <w:p w:rsidR="00000000" w:rsidRDefault="00705CBC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</w:p>
    <w:p w:rsidR="00000000" w:rsidRDefault="00705CBC">
      <w:pPr>
        <w:jc w:val="both"/>
        <w:rPr>
          <w:rFonts w:ascii="Times New Roman" w:eastAsia="Times New Roman" w:hAnsi="Times New Roman"/>
          <w:sz w:val="28"/>
          <w:lang w:val="en-US" w:eastAsia="en-US"/>
        </w:rPr>
      </w:pPr>
    </w:p>
    <w:p w:rsidR="00000000" w:rsidRDefault="00705CBC">
      <w:pPr>
        <w:jc w:val="both"/>
        <w:rPr>
          <w:rFonts w:ascii="Times New Roman CYR" w:eastAsia="Times New Roman" w:hAnsi="Times New Roman CYR" w:cs="Times New Roman CYR"/>
          <w:color w:val="004DBB"/>
          <w:lang w:val="en-US" w:eastAsia="en-US"/>
        </w:rPr>
      </w:pPr>
    </w:p>
    <w:p w:rsidR="00000000" w:rsidRDefault="00705CBC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</w:p>
    <w:tbl>
      <w:tblPr>
        <w:tblW w:w="11532" w:type="dxa"/>
        <w:tblInd w:w="9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84"/>
        <w:gridCol w:w="5445"/>
        <w:gridCol w:w="4303"/>
      </w:tblGrid>
      <w:tr w:rsidR="00000000"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705CBC">
            <w:pPr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lastRenderedPageBreak/>
              <w:t>Руководитель</w:t>
            </w:r>
          </w:p>
        </w:tc>
        <w:tc>
          <w:tcPr>
            <w:tcW w:w="545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705CBC">
            <w:pPr>
              <w:jc w:val="center"/>
              <w:rPr>
                <w:rFonts w:ascii="Verdana" w:eastAsia="Times New Roman" w:hAnsi="Verdana" w:cs="Calibri"/>
                <w:sz w:val="20"/>
                <w:lang w:val="en-US" w:eastAsia="en-US"/>
              </w:rPr>
            </w:pPr>
            <w:r>
              <w:rPr>
                <w:rFonts w:ascii="Verdana" w:eastAsia="Times New Roman" w:hAnsi="Verdana" w:cs="Verdana"/>
                <w:noProof/>
                <w:sz w:val="20"/>
              </w:rPr>
              <w:drawing>
                <wp:inline distT="0" distB="0" distL="0" distR="0">
                  <wp:extent cx="2619375" cy="7905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Волошин Артем Альбертович</w:t>
            </w:r>
          </w:p>
        </w:tc>
      </w:tr>
      <w:tr w:rsidR="00000000">
        <w:trPr>
          <w:trHeight w:val="280"/>
        </w:trPr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705CBC">
            <w:pPr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eastAsia="Times New Roman"/>
                <w:sz w:val="24"/>
              </w:rPr>
              <w:t> </w:t>
            </w:r>
          </w:p>
        </w:tc>
        <w:tc>
          <w:tcPr>
            <w:tcW w:w="545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(</w:t>
            </w:r>
            <w:r>
              <w:rPr>
                <w:rFonts w:ascii="Times New Roman" w:eastAsia="Times New Roman" w:hAnsi="Times New Roman"/>
                <w:sz w:val="24"/>
              </w:rPr>
              <w:t>подпись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(</w:t>
            </w:r>
            <w:r>
              <w:rPr>
                <w:rFonts w:ascii="Times New Roman" w:eastAsia="Times New Roman" w:hAnsi="Times New Roman"/>
                <w:sz w:val="24"/>
              </w:rPr>
              <w:t>расшифровка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подписи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</w:tr>
      <w:tr w:rsidR="00000000">
        <w:trPr>
          <w:trHeight w:val="281"/>
        </w:trPr>
        <w:tc>
          <w:tcPr>
            <w:tcW w:w="1153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705CBC">
            <w:pPr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</w:tc>
      </w:tr>
      <w:tr w:rsidR="00000000">
        <w:trPr>
          <w:trHeight w:val="281"/>
        </w:trPr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705CBC">
            <w:pPr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Руководитель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планово</w:t>
            </w:r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545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sz w:val="24"/>
                <w:lang w:val="en-US" w:eastAsia="en-US"/>
              </w:rPr>
            </w:pPr>
            <w:r>
              <w:rPr>
                <w:rFonts w:ascii="Verdana" w:eastAsia="Times New Roman" w:hAnsi="Verdana" w:cs="Verdana"/>
                <w:sz w:val="20"/>
                <w:lang w:val="en-US" w:eastAsia="en-US"/>
              </w:rPr>
              <w:t xml:space="preserve"> </w:t>
            </w:r>
            <w:r>
              <w:rPr>
                <w:rFonts w:ascii="Verdana" w:eastAsia="Times New Roman" w:hAnsi="Verdana" w:cs="Verdana"/>
                <w:noProof/>
                <w:sz w:val="20"/>
              </w:rPr>
              <w:drawing>
                <wp:inline distT="0" distB="0" distL="0" distR="0">
                  <wp:extent cx="2714625" cy="79057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Лазарева Татьяна Николаевна</w:t>
            </w:r>
          </w:p>
        </w:tc>
      </w:tr>
      <w:tr w:rsidR="00000000">
        <w:trPr>
          <w:trHeight w:val="281"/>
        </w:trPr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705CBC">
            <w:pPr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экономической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службы</w:t>
            </w:r>
          </w:p>
        </w:tc>
        <w:tc>
          <w:tcPr>
            <w:tcW w:w="545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(</w:t>
            </w:r>
            <w:r>
              <w:rPr>
                <w:rFonts w:ascii="Times New Roman" w:eastAsia="Times New Roman" w:hAnsi="Times New Roman"/>
                <w:sz w:val="24"/>
              </w:rPr>
              <w:t>подпись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(</w:t>
            </w:r>
            <w:r>
              <w:rPr>
                <w:rFonts w:ascii="Times New Roman" w:eastAsia="Times New Roman" w:hAnsi="Times New Roman"/>
                <w:sz w:val="24"/>
              </w:rPr>
              <w:t>расшифровка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подписи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</w:tr>
      <w:tr w:rsidR="00000000">
        <w:trPr>
          <w:trHeight w:val="281"/>
        </w:trPr>
        <w:tc>
          <w:tcPr>
            <w:tcW w:w="1153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705CBC">
            <w:pPr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</w:tc>
      </w:tr>
      <w:tr w:rsidR="00000000">
        <w:trPr>
          <w:trHeight w:val="281"/>
        </w:trPr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705CBC">
            <w:pPr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Главный</w:t>
            </w:r>
          </w:p>
        </w:tc>
        <w:tc>
          <w:tcPr>
            <w:tcW w:w="545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sz w:val="24"/>
                <w:lang w:val="en-US" w:eastAsia="en-US"/>
              </w:rPr>
            </w:pPr>
            <w:r>
              <w:rPr>
                <w:rFonts w:ascii="Verdana" w:eastAsia="Times New Roman" w:hAnsi="Verdana" w:cs="Verdana"/>
                <w:noProof/>
                <w:sz w:val="20"/>
              </w:rPr>
              <w:drawing>
                <wp:inline distT="0" distB="0" distL="0" distR="0">
                  <wp:extent cx="2714625" cy="79057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Лазарева Татьяна Николаевна</w:t>
            </w:r>
          </w:p>
        </w:tc>
      </w:tr>
      <w:tr w:rsidR="00000000">
        <w:trPr>
          <w:trHeight w:val="281"/>
        </w:trPr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705CBC">
            <w:pPr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бухгалтер</w:t>
            </w:r>
          </w:p>
        </w:tc>
        <w:tc>
          <w:tcPr>
            <w:tcW w:w="545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(</w:t>
            </w:r>
            <w:r>
              <w:rPr>
                <w:rFonts w:ascii="Times New Roman" w:eastAsia="Times New Roman" w:hAnsi="Times New Roman"/>
                <w:sz w:val="24"/>
              </w:rPr>
              <w:t>подпись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705CBC">
            <w:pPr>
              <w:jc w:val="center"/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(</w:t>
            </w:r>
            <w:r>
              <w:rPr>
                <w:rFonts w:ascii="Times New Roman" w:eastAsia="Times New Roman" w:hAnsi="Times New Roman"/>
                <w:sz w:val="24"/>
              </w:rPr>
              <w:t>расшифровка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подписи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</w:tr>
    </w:tbl>
    <w:p w:rsidR="00000000" w:rsidRDefault="00705CBC">
      <w:pPr>
        <w:rPr>
          <w:rFonts w:eastAsia="Times New Roman"/>
        </w:rPr>
      </w:pPr>
    </w:p>
    <w:p w:rsidR="00000000" w:rsidRDefault="00705CBC">
      <w:pPr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 w:cs="Calibri"/>
          <w:color w:val="2F343D"/>
          <w:sz w:val="24"/>
          <w:shd w:val="clear" w:color="auto" w:fill="FFFFFF"/>
        </w:rPr>
        <w:t>"05" августа 2026 г.</w:t>
      </w:r>
      <w:bookmarkStart w:id="1" w:name="_dx_frag_EndFragment"/>
      <w:bookmarkEnd w:id="1"/>
    </w:p>
    <w:p w:rsidR="00000000" w:rsidRDefault="00705CBC">
      <w:pPr>
        <w:jc w:val="both"/>
        <w:rPr>
          <w:rFonts w:ascii="Times New Roman CYR" w:eastAsia="Times New Roman" w:hAnsi="Times New Roman CYR" w:cs="Times New Roman CYR"/>
          <w:color w:val="004DBB"/>
          <w:lang w:val="en-US" w:eastAsia="en-US"/>
        </w:rPr>
      </w:pPr>
      <w:bookmarkStart w:id="2" w:name="_dx_frag_StartFragment"/>
      <w:bookmarkEnd w:id="2"/>
    </w:p>
    <w:p w:rsidR="00705CBC" w:rsidRDefault="00705CBC">
      <w:pPr>
        <w:jc w:val="both"/>
        <w:rPr>
          <w:rFonts w:ascii="Times New Roman" w:eastAsia="Times New Roman" w:hAnsi="Times New Roman" w:cs="Calibri"/>
          <w:sz w:val="28"/>
          <w:lang w:val="en-US" w:eastAsia="en-US"/>
        </w:rPr>
      </w:pPr>
    </w:p>
    <w:sectPr w:rsidR="00705CBC">
      <w:pgSz w:w="15840" w:h="12240" w:orient="landscape"/>
      <w:pgMar w:top="1134" w:right="819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7B2"/>
    <w:rsid w:val="00705CBC"/>
    <w:rsid w:val="00B807B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undOvr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2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rPr>
      <w:rFonts w:ascii="Times New Roman" w:eastAsiaTheme="minorEastAsia" w:hAnsi="Times New Roman" w:cs="Times New Roman"/>
      <w:sz w:val="22"/>
    </w:rPr>
  </w:style>
  <w:style w:type="character" w:styleId="a4">
    <w:name w:val="Hyperlink"/>
    <w:basedOn w:val="a0"/>
    <w:uiPriority w:val="99"/>
    <w:rPr>
      <w:rFonts w:ascii="Times New Roman" w:eastAsiaTheme="minorEastAsia" w:hAnsi="Times New Roman"/>
      <w:color w:val="0000FF"/>
      <w:sz w:val="22"/>
      <w:u w:val="single"/>
    </w:rPr>
  </w:style>
  <w:style w:type="character" w:customStyle="1" w:styleId="style461">
    <w:name w:val="style461"/>
    <w:basedOn w:val="a0"/>
    <w:uiPriority w:val="99"/>
    <w:rPr>
      <w:rFonts w:ascii="Times New Roman" w:eastAsiaTheme="minorEastAsia" w:hAnsi="Times New Roman"/>
      <w:sz w:val="15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sz w:val="22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7EAADF"/>
      </a:accent1>
      <a:accent2>
        <a:srgbClr val="EA726F"/>
      </a:accent2>
      <a:accent3>
        <a:srgbClr val="A9D774"/>
      </a:accent3>
      <a:accent4>
        <a:srgbClr val="A78BC9"/>
      </a:accent4>
      <a:accent5>
        <a:srgbClr val="78CBE1"/>
      </a:accent5>
      <a:accent6>
        <a:srgbClr val="FCBF8C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941_Орг=800330_Ф=0503160M_mos_Период=июль 2026 года.dotx</Template>
  <TotalTime>0</TotalTime>
  <Pages>8</Pages>
  <Words>2206</Words>
  <Characters>12577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 Петр Александрович</dc:creator>
  <cp:keywords/>
  <dc:description/>
  <cp:lastModifiedBy>Лазарева Татьяна Николаевна</cp:lastModifiedBy>
  <cp:revision>2</cp:revision>
  <dcterms:created xsi:type="dcterms:W3CDTF">2026-08-07T11:32:00Z</dcterms:created>
  <dcterms:modified xsi:type="dcterms:W3CDTF">2026-08-07T11:32:00Z</dcterms:modified>
</cp:coreProperties>
</file>